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20 VfGHG (Bayern) — Terminierung, Sitzungsort</w:t>
      </w:r>
    </w:p>
    <w:p>
      <w:r>
        <w:rPr>
          <w:color w:val="555555"/>
          <w:sz w:val="18"/>
        </w:rPr>
        <w:t xml:space="preserve">Gesetz über den Bayerischen Verfassungsgerichtshof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Termin und Ort der Sitzungen werden vom Präsidenten bestimmt.</w:t>
      </w:r>
    </w:p>
    <w:p>
      <w:r>
        <w:rPr>
          <w:color w:val="555555"/>
          <w:sz w:val="17"/>
        </w:rPr>
        <w:t xml:space="preserve">Zitiervorschlag: Art 20 VfGHG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https://recht.nulegal.eu/gesetze/VfGHG/20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