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VfGHG (Bayern) — Zuständigkeit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Verfassungsgerichtshof ist zuständig zur Entscheidung</w:t>
      </w:r>
    </w:p>
    <w:p>
      <w:r>
        <w:t xml:space="preserve">1. über Anklagen des Landtags gegen ein Mitglied der Staatsregierung oder des Landtags (Art. 61 Abs. 1 der Verfassung),</w:t>
      </w:r>
    </w:p>
    <w:p>
      <w:r>
        <w:t xml:space="preserve">2. über den Ausschluß von Wählergruppen von Wahlen und Abstimmungen (Art. 62 der Verfassung),</w:t>
      </w:r>
    </w:p>
    <w:p>
      <w:r>
        <w:t xml:space="preserve">3. über die Gültigkeit der Wahl der Mitglieder des Landtags und den Verlust der Mitgliedschaft zum Landtag (Art. 63 der Verfassung),</w:t>
      </w:r>
    </w:p>
    <w:p>
      <w:r>
        <w:t xml:space="preserve">4. über Verfassungsstreitigkeiten zwischen den obersten Staatsorganen oder in der Verfassung mit eigenen Rechten ausgestatteten Teilen eines obersten Staatsorgans (Art. 64 der Verfassung),</w:t>
      </w:r>
    </w:p>
    <w:p>
      <w:r>
        <w:t xml:space="preserve">5. über Richtervorlagen wegen Verfassungswidrigkeit von Rechtsvorschriften (Art. 65 der Verfassung),</w:t>
      </w:r>
    </w:p>
    <w:p>
      <w:r>
        <w:t xml:space="preserve">6. über Verfassungsbeschwerden (Art. 66 der Verfassung),</w:t>
      </w:r>
    </w:p>
    <w:p>
      <w:r>
        <w:t xml:space="preserve">7. über Popularklagen wegen Verfassungswidrigkeit von Rechtsvorschriften (Art. 98 Satz 4 der Verfassung),</w:t>
      </w:r>
    </w:p>
    <w:p>
      <w:r>
        <w:t xml:space="preserve">8. über Meinungsverschiedenheiten darüber, ob durch ein Gesetz die Verfassung verletzt wird oder ob ein Antrag auf unzulässige Verfassungsänderung vorliegt (Art. 75 Abs. 3 der Verfassung),</w:t>
      </w:r>
    </w:p>
    <w:p>
      <w:r>
        <w:t xml:space="preserve">9. in den übrigen durch Gesetz zugewiesenen Fällen (Art. 67 der Verfassung).</w:t>
      </w:r>
    </w:p>
    <w:p>
      <w:r>
        <w:rPr>
          <w:color w:val="555555"/>
          <w:sz w:val="17"/>
        </w:rPr>
        <w:t xml:space="preserve">Zitiervorschlag: Art 2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