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VfGHG (Bayern) — Akteneinsicht</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Beteiligten haben das Recht, auf der Geschäftsstelle des Verfassungsgerichtshofs Einsicht in die Akten zu nehmen. Ist für einen Beteiligten die Akteneinsicht auf der Geschäftsstelle des Verfassungsgerichtshofs wegen persönlicher Umstände erheblich erschwert oder unmöglich, so können die Akten an ein anderes Gericht oder eine andere Behörde zur Einsichtnahme übersandt werden.</w:t>
      </w:r>
    </w:p>
    <w:p>
      <w:r>
        <w:t xml:space="preserve">(2) Ausgenommen von dem Recht auf Akteneinsicht sind Akten oder Aktenstücke, deren Einsichtnahme vom Verfassungsgerichtshof mit dem Staatswohl für unvereinbar erklärt wird. Hält der Präsident die Einsichtnahme in Akten oder Aktenstücke mit dem Staatswohl für unvereinbar, so ist diese bis zur Entscheidung des Verfassungsgerichtshofs vorläufig zu verweigern; dasselbe gilt, wenn der Landtag, die Staatsregierung oder das zuständige Staatsministerium, soweit sie am Verfahren beteiligt sind, die Einsichtnahme mit dem Staatswohl für unvereinbar halten. Die Entscheidung des Verfassungsgerichtshofs ist unverzüglich herbeizuführen. Er entscheidet in der für die Hauptsache nach Art. 3 Abs. 2 vorgeschriebenen Besetzung.</w:t>
      </w:r>
    </w:p>
    <w:p>
      <w:r>
        <w:t xml:space="preserve">(3) Die Akteneinsicht ist den Beteiligten und ihren Bevollmächtigten auch noch nach der Entscheidung des Verfassungsgerichtshofs zu gewähren, wenn sie ein berechtigtes Interesse glaubhaft machen.</w:t>
      </w:r>
    </w:p>
    <w:p>
      <w:r>
        <w:t xml:space="preserve">(4) Ist zu einer Entscheidung eine abweichende Ansicht niedergelegt, erstreckt sich das Recht auf Akteneinsicht nicht auf die Erlangung der Kenntnis von der Person des Richters, der sie niedergelegt hat.</w:t>
      </w:r>
    </w:p>
    <w:p>
      <w:r>
        <w:t xml:space="preserve">(5) Anderen Personen als Beteiligten kann Akteneinsicht gewährt werden, wenn sie ein berechtigtes Interesse glaubhaft machen und die Belange der Beteiligten, Dritter, des Staates oder die Erfordernisse des Verfahrens nicht entgegenstehen.</w:t>
      </w:r>
    </w:p>
    <w:p>
      <w:r>
        <w:rPr>
          <w:color w:val="555555"/>
          <w:sz w:val="17"/>
        </w:rPr>
        <w:t xml:space="preserve">Zitiervorschlag: Art 19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