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VfGHG (Bayern) — Antragstellung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Verfahren vor dem Verfassungsgerichtshof wird nur auf schriftlichen Antrag eingeleitet. Dem Antrag und allen anderen Schriftsätzen sind jeweils so viele Abschriften beizufügen, als weitere Beteiligte vorhanden sind.</w:t>
      </w:r>
    </w:p>
    <w:p>
      <w:r>
        <w:t xml:space="preserve">(2) Den übrigen Beteiligten ist vom Verfassungsgerichtshof eine Abschrift des Antrags zu übermitteln. Zugleich ist ihnen Gelegenheit zu geben, innerhalb bestimmter Frist schriftlich Stellung zu nehmen.</w:t>
      </w:r>
    </w:p>
    <w:p>
      <w:r>
        <w:rPr>
          <w:color w:val="555555"/>
          <w:sz w:val="17"/>
        </w:rPr>
        <w:t xml:space="preserve">Zitiervorschlag: Art 14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