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VfAusbV</w:t>
      </w:r>
    </w:p>
    <w:p>
      <w:r>
        <w:rPr>
          <w:color w:val="555555"/>
          <w:sz w:val="18"/>
        </w:rPr>
        <w:t xml:space="preserve">Veranstaltungsfachkräfteausbildungsverordnung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zuletzt durch Artikel 436 Nummer 1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VfAusbV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