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VfAusbV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Realisieren eines veranstaltungstechnischen Projekts mit    50 Prozent,</w:t>
      </w:r>
    </w:p>
    <w:p>
      <w:r>
        <w:rPr>
          <w:rFonts w:ascii="Courier New" w:hAnsi="Courier New"/>
          <w:sz w:val="17"/>
        </w:rPr>
        <w:t xml:space="preserve">Planen der Veranstaltungstechnik mit    15 Prozent,</w:t>
      </w:r>
    </w:p>
    <w:p>
      <w:r>
        <w:rPr>
          <w:rFonts w:ascii="Courier New" w:hAnsi="Courier New"/>
          <w:sz w:val="17"/>
        </w:rPr>
        <w:t xml:space="preserve">Planen der Veranstaltungsdurchführung mit    15 Prozent,</w:t>
      </w:r>
    </w:p>
    <w:p>
      <w:r>
        <w:rPr>
          <w:rFonts w:ascii="Courier New" w:hAnsi="Courier New"/>
          <w:sz w:val="17"/>
        </w:rPr>
        <w:t xml:space="preserve">Sicherstellen der Energieversorgung für Veranstaltungstechnik mit    10 Prozent,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Realisieren eines veranstaltungstechnischen Projekts mit mindestens „ausreichend“,</w:t>
      </w:r>
    </w:p>
    <w:p>
      <w:pPr>
        <w:ind w:left="420"/>
      </w:pPr>
      <w:r>
        <w:t xml:space="preserve">3. im Prüfungsbereich Sicherstellen der Energieversorgung für Veranstaltungstechnik mit mindestens „ausreichend“,</w:t>
      </w:r>
    </w:p>
    <w:p>
      <w:pPr>
        <w:ind w:left="420"/>
      </w:pPr>
      <w:r>
        <w:t xml:space="preserve">4. in mindestens zwei weiteren Prüfungsbereichen mit mindestens „ausreichend“ und</w:t>
      </w:r>
    </w:p>
    <w:p>
      <w:pPr>
        <w:ind w:left="420"/>
      </w:pPr>
      <w:r>
        <w:t xml:space="preserve">5. in keinem Prüfungsbereich mit „ungenügend“.</w:t>
      </w:r>
    </w:p>
    <w:p>
      <w:r>
        <w:t xml:space="preserve">(3) Auf Antrag des Prüflings ist die Prüfung in einem der Prüfungsbereiche „Planen der Veranstaltungstechnik“, „Planen der Veranstaltungsdurchführung“, „Sicherstellen der Energieversorgung für Veranstaltungstechnik“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20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