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VfAusbV — Prüfungsbereich Planen der Veranstaltungstechnik</w:t>
      </w:r>
    </w:p>
    <w:p>
      <w:r>
        <w:rPr>
          <w:color w:val="555555"/>
          <w:sz w:val="18"/>
        </w:rPr>
        <w:t xml:space="preserve">Veranstaltungsfachkräfteausbildungsverordnung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Im Prüfungsbereich Planen der Veranstaltungstechnik soll der Prüfling nachweisen, dass er in der Lage ist,</w:t>
      </w:r>
    </w:p>
    <w:p>
      <w:pPr>
        <w:ind w:left="420"/>
      </w:pPr>
      <w:r>
        <w:t xml:space="preserve">1. veranstaltungstechnische Konzepte und Ablaufpläne unter rechtlichen und organisatorischen Aspekten zu beurteilen,</w:t>
      </w:r>
    </w:p>
    <w:p>
      <w:pPr>
        <w:ind w:left="420"/>
      </w:pPr>
      <w:r>
        <w:t xml:space="preserve">2. Beschallungs-, Beleuchtungs-, Projektions- und medientechnische Systeme zu konzipieren und zu berechnen sowie Betriebsmittel auszuwählen,</w:t>
      </w:r>
    </w:p>
    <w:p>
      <w:pPr>
        <w:ind w:left="420"/>
      </w:pPr>
      <w:r>
        <w:t xml:space="preserve">3. den Aufbau, die Vernetzung und Konfiguration von Systemen der Veranstaltungstechnik darzustellen,</w:t>
      </w:r>
    </w:p>
    <w:p>
      <w:pPr>
        <w:ind w:left="420"/>
      </w:pPr>
      <w:r>
        <w:t xml:space="preserve">4. Bühnen-, Szenen- und Messeaufbauten unter Berücksichtigung technischer Vorgaben und unter Berücksichtigung der Standsicherheit festzulegen und</w:t>
      </w:r>
    </w:p>
    <w:p>
      <w:pPr>
        <w:ind w:left="420"/>
      </w:pPr>
      <w:r>
        <w:t xml:space="preserve">5. Traversensysteme und maschinentechnische Betriebsmittel unter Berücksichtigung der geforderten Tragfähigkeit, Standsicherheit und der vorhandenen Abhängepunkte einzusetzen.</w:t>
      </w:r>
    </w:p>
    <w:p>
      <w:r>
        <w:t xml:space="preserve">(2) Der Prüfling soll Aufgaben schriftlich bearbeiten.</w:t>
      </w:r>
    </w:p>
    <w:p>
      <w:r>
        <w:t xml:space="preserve">(3) Die Prüfungszeit beträgt 90 Minuten.</w:t>
      </w:r>
    </w:p>
    <w:p>
      <w:r>
        <w:rPr>
          <w:color w:val="555555"/>
          <w:sz w:val="17"/>
        </w:rPr>
        <w:t xml:space="preserve">Zitiervorschlag: § 16 VfAusbV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https://recht.nulegal.eu/gesetze/VfAusbV/16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