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VfAusbV — Ziel und Zeitpunkt</w:t>
      </w:r>
    </w:p>
    <w:p>
      <w:r>
        <w:rPr>
          <w:color w:val="555555"/>
          <w:sz w:val="18"/>
        </w:rPr>
        <w:t xml:space="preserve">Veranstaltungsfachkräfteausbildungsverordnung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Durch die Abschlussprüfung ist festzustellen, ob der Prüfling die berufliche Handlungsfähigkeit erworben hat.</w:t>
      </w:r>
    </w:p>
    <w:p>
      <w:r>
        <w:t xml:space="preserve">(2) Die Abschlussprüfung soll am Ende der Berufsausbildung durchgeführt werden.</w:t>
      </w:r>
    </w:p>
    <w:p>
      <w:r>
        <w:rPr>
          <w:color w:val="555555"/>
          <w:sz w:val="17"/>
        </w:rPr>
        <w:t xml:space="preserve">Zitiervorschlag: § 12 VfAusbV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https://recht.nulegal.eu/gesetze/VfAusbV/12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