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VerwBBeisV (Bayern)</w:t>
      </w:r>
    </w:p>
    <w:p>
      <w:r>
        <w:rPr>
          <w:color w:val="555555"/>
          <w:sz w:val="18"/>
        </w:rPr>
        <w:t xml:space="preserve">Verordnung über die Bestellung von Verwaltungsbeamten zu Beisitzern in den Ausschüssen nach § 26 VwGO und über die Berufung der ehrenamtlichen Beisitzer nach § 84 BPersVG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ehrenamtlichen Beisitzer in den für Personalvertretungsangelegenheiten des Bundes gebildeten Fachkammern werden vom Bayerischen Verwaltungsgerichtshof berufen (§ 84 Abs. 2 Satz 3 BPersVG).</w:t>
      </w:r>
    </w:p>
    <w:p>
      <w:r>
        <w:rPr>
          <w:color w:val="555555"/>
          <w:sz w:val="17"/>
        </w:rPr>
        <w:t xml:space="preserve">Zitiervorschlag: § 2 VerwBBeisV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https://recht.nulegal.eu/gesetze/VerwBBeisV/2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