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VerwAnO — Auszug aus EinigVtr Anlage II Kapitel V Sachgebiet D Abschnitt III (BGBl. II 1990, 885, 1202)</w:t>
      </w:r>
    </w:p>
    <w:p>
      <w:r>
        <w:rPr>
          <w:color w:val="555555"/>
          <w:sz w:val="18"/>
        </w:rPr>
        <w:t xml:space="preserve">Verwahrungsanordnung</w:t>
      </w:r>
    </w:p>
    <w:p>
      <w:r>
        <w:rPr>
          <w:color w:val="555555"/>
          <w:sz w:val="18"/>
        </w:rPr>
        <w:t xml:space="preserve">Stand: 10.06.2019 (konsolidierte Textfassung, kein amtliches Inkrafttretensdatum)</w:t>
      </w:r>
    </w:p>
    <w:p>
      <w:r>
        <w:t xml:space="preserve">Abschnitt III Folgendes Recht der Deutschen Demokratischen Republik bleibt mit folgenden Maßgaben in Kraft:</w:t>
      </w:r>
    </w:p>
    <w:p>
      <w:pPr>
        <w:ind w:left="780"/>
      </w:pPr>
      <w:r>
        <w:t xml:space="preserve">a) Vorschriften der Deutschen Demokratischen Republik, die ganz oder teilweise auf Grund des Berggesetzes der Deutschen Demokratischen Republik vom 12. Mai 1969 (GBl. I Nr. 5 S. 29) oder der zu dessen Durchführung ergangenen Vorschriften erlassen worden sind und Regelungen enthalten, die nach § 64 Abs. 3, §§ 65 bis 68, 125 Abs. 4, § 129 Abs. 2 und § 131 Abs. 2 des Bundesberggesetzes vom 13. August 1980 (BGBl. I S. 1310), zuletzt geändert durch Gesetz vom 12. Februar 1990 (BGBl. I S. 215), erlassen werden können, gelten als Verordnungen im Sinne des § 176 Abs. 3 des Bundesberggesetzesmit folgenden Maßgaben:</w:t>
      </w:r>
    </w:p>
    <w:p>
      <w:pPr>
        <w:ind w:left="1140"/>
      </w:pPr>
      <w:r>
        <w:t xml:space="preserve">aa) In § 176 Abs. 3 Satz 2 des Bundesberggesetzes tritt neben § 68 Abs. 1 der § 64 Abs. 3,</w:t>
      </w:r>
    </w:p>
    <w:p>
      <w:pPr>
        <w:ind w:left="1140"/>
      </w:pPr>
      <w:r>
        <w:t xml:space="preserve">bb) in § 176 Abs. 3 Satz 3 des Bundesberggesetzes treten neben § 68 Abs. 2 die § 125 Abs. 4, § 129 Abs. 2 und § 131 Abs. 2.</w:t>
      </w:r>
    </w:p>
    <w:p>
      <w:pPr>
        <w:ind w:left="780"/>
      </w:pPr>
      <w:r>
        <w:t xml:space="preserve">b) Die Vorschriften des Berggesetzes der Deutschen Demokratischen Republik und die auf Grund dessen erlassenen Vorschriften zur Gewährleistung der öffentlichen Sicherheit in stillgelegten Anlagen von bergbaulichen Gewinnungsbetrieben, für die ein Rechtsnachfolger nicht vorhanden oder nicht mehr feststellbar ist, oder die bis zum Tag des Wirksamwerdens des Beitritts endgültig eingestellt waren, gelten bis zum Erlaß entsprechender ordnungsbehördlicher Vorschriften der in Artikel 1 Abs. 1 des Vertrages genannten Länder und des Teiles des Landes Berlin, in dem das Grundgesetz bisher nicht galt, mit der Maßgabe weiter, daß an die Stelle der Räte der Bezirke die Landesregierungen treten.</w:t>
      </w:r>
    </w:p>
    <w:p>
      <w:pPr>
        <w:ind w:left="420"/>
      </w:pPr>
      <w:r>
        <w:t xml:space="preserve">2. bis 4. ...</w:t>
      </w:r>
    </w:p>
    <w:p>
      <w:r>
        <w:rPr>
          <w:color w:val="555555"/>
          <w:sz w:val="17"/>
        </w:rPr>
        <w:t xml:space="preserve">Zitiervorschlag: Anhang EV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