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VerwAnO</w:t>
      </w:r>
    </w:p>
    <w:p>
      <w:r>
        <w:rPr>
          <w:color w:val="555555"/>
          <w:sz w:val="18"/>
        </w:rPr>
        <w:t xml:space="preserve">Verwahrungsanordnung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Bergbaubetriebe haben die territoriale Einordnung der künftig stillzulegenden Grubenbaue und die Möglichkeiten einer weiteren bergbaulichen Nutzung oder Nachnutzung unter Berücksichtigung der Dispositionen des gemäß § 3 Abs. 3 bilanzbeauftragten Organs vor dem Beginn von Untersuchungs-, Gewinnungs- oder Speicherarbeiten mit dem Rat des Bezirkes abzustimmen.</w:t>
      </w:r>
    </w:p>
    <w:p>
      <w:r>
        <w:t xml:space="preserve">(2) Der Rat des Bezirkes kann die Abstimmung auf einen späteren Termin verlegen, spätestens auf den Zeitraum der Ausarbeitung des Fünfjahrplanes, in dem die Stillegung der Grubenbaue beabsichtigt ist.</w:t>
      </w:r>
    </w:p>
    <w:p>
      <w:r>
        <w:rPr>
          <w:color w:val="555555"/>
          <w:sz w:val="17"/>
        </w:rPr>
        <w:t xml:space="preserve">Zitiervorschlag: § 4 VerwAnO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https://recht.nulegal.eu/gesetze/VerwAnO/4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