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VerwAnO</w:t>
      </w:r>
    </w:p>
    <w:p>
      <w:r>
        <w:rPr>
          <w:color w:val="555555"/>
          <w:sz w:val="18"/>
        </w:rPr>
        <w:t xml:space="preserve">Verwahrungsanordnung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Grubenbaue, die von Bergbaubetrieben für ihre eigene bergbauliche Nutzung nicht mehr benötigt werden, sollen entsprechend den volkswirtschaftlichen und territorialen Erfordernissen einer weiteren bergbaulichen Nutzung oder einer Nachnutzung zugeführt werden.</w:t>
      </w:r>
    </w:p>
    <w:p>
      <w:r>
        <w:t xml:space="preserve">(2) Die Bergbaubetriebe haben die künftig stillzulegenden Grubenbaue - mit Ausnahme von Bohrlöchern - und den voraussichtlichen Zeitpunkt der Stillegung in geeigneter Form so anzuzeigen, daß es möglich ist, die Zweckmäßigkeit und Art einer künftigen weiteren bergbaulichen Nutzung oder einer Nachnutzung zu prüfen.</w:t>
      </w:r>
    </w:p>
    <w:p>
      <w:r>
        <w:t xml:space="preserve">(3) Die Anzeige hat an das zuständige bilanzbeauftragte Organ*) des Staatssekretariats für Geologie zu erfolgen</w:t>
      </w:r>
    </w:p>
    <w:p>
      <w:pPr>
        <w:ind w:left="420"/>
      </w:pPr>
      <w:r>
        <w:t xml:space="preserve">a) vor dem Beginn von Untersuchungs-, Gewinnungs- und Speicherarbeiten sowie</w:t>
      </w:r>
    </w:p>
    <w:p>
      <w:pPr>
        <w:ind w:left="420"/>
      </w:pPr>
      <w:r>
        <w:t xml:space="preserve">b) im Zeitraum der Ausarbeitung des Fünfjahrplanes, in dem die Stillegung beabsichtigt ist, falls die Anzeige gemäß Buchst. a länger als 2 Jahre zurückliegt oder sich seitdem wesentliche Änderungen ergeben haben.</w:t>
      </w:r>
    </w:p>
    <w:p>
      <w:r>
        <w:t xml:space="preserve">------ *) z.Z. VEB Untergrundspeicher Stendal</w:t>
      </w:r>
    </w:p>
    <w:p>
      <w:r>
        <w:rPr>
          <w:color w:val="555555"/>
          <w:sz w:val="17"/>
        </w:rPr>
        <w:t xml:space="preserve">Zitiervorschlag: § 3 VerwAnO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https://recht.nulegal.eu/gesetze/VerwAnO/3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