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Anordnung gilt für die Verwahrung von stillgelegten und stillzulegenden unterirdischen Anlagen, die durch Untersuchungs-, Gewinnungs- oder Speicherarbeiten im Sinne von § 1 des Berggesetzes der Deutschen Demokratischen Republik vom 12. Mai 1969 (GBl. I S. 29) hergestellt oder für die Durchführung dieser Arbeiten genutzt wurden oder künftig hergestellt oder genutzt werden.</w:t>
      </w:r>
    </w:p>
    <w:p>
      <w:r>
        <w:t xml:space="preserve">(2) Für die Verwahrung von</w:t>
      </w:r>
    </w:p>
    <w:p>
      <w:pPr>
        <w:ind w:left="420"/>
      </w:pPr>
      <w:r>
        <w:t xml:space="preserve">a) natürlich entstandenen unterirdischen Hohlräumen (z.B. Höhlen und Grotten),</w:t>
      </w:r>
    </w:p>
    <w:p>
      <w:pPr>
        <w:ind w:left="420"/>
      </w:pPr>
      <w:r>
        <w:t xml:space="preserve">b) unterirdischen Hohlräumen, die nicht für bergbauliche Zwecke hergestellt wurden,</w:t>
      </w:r>
    </w:p>
    <w:p>
      <w:pPr>
        <w:ind w:left="420"/>
      </w:pPr>
      <w:r>
        <w:t xml:space="preserve">c) unterirdischen Bauwerken im Sinne der Anordnung Nr. 2 vom 2. Oktober 1958 über verfahrensrechtliche und bautechnische Bestimmungen im Bauwesen - Deutsche Bauordnung (DBO) - (Sonderdruck Nr. 287 des Gesetzblattes)</w:t>
      </w:r>
    </w:p>
    <w:p>
      <w:r>
        <w:t xml:space="preserve">gilt diese Anordnung nur, wenn diese Hohlräume oder Bauwerke für Untersuchungs-, Gewinnungs- oder Speicherarbeiten genutzt wurden oder genutzt werden.</w:t>
      </w:r>
    </w:p>
    <w:p>
      <w:r>
        <w:rPr>
          <w:color w:val="555555"/>
          <w:sz w:val="17"/>
        </w:rPr>
        <w:t xml:space="preserve">Zitiervorschlag: § 1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