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VertrV (Bayern) — Verfahren vor den Gerichten der Sozialgerichtsbarkeit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den Gerichten der Sozialgerichtsbarkeit wird der Freistaat Bayern vertreten</w:t>
      </w:r>
    </w:p>
    <w:p>
      <w:r>
        <w:t xml:space="preserve">1. in Angelegenheiten</w:t>
      </w:r>
    </w:p>
    <w:p>
      <w:r>
        <w:t xml:space="preserve">a) nach dem Bundeselterngeld- und Elternzeitgesetz,</w:t>
      </w:r>
    </w:p>
    <w:p>
      <w:r>
        <w:t xml:space="preserve">b) nach dem Bayerischen Landeserziehungsgeldgesetz,</w:t>
      </w:r>
    </w:p>
    <w:p>
      <w:r>
        <w:t xml:space="preserve">c) (aufgehoben)</w:t>
      </w:r>
    </w:p>
    <w:p>
      <w:r>
        <w:t xml:space="preserve">d) im Sinne des § 51 Abs. 1 Nr. 7 des Sozialgerichtsgesetzes (SGG),</w:t>
      </w:r>
    </w:p>
    <w:p>
      <w:r>
        <w:t xml:space="preserve">e) im Sinne des § 71 Abs. 5 SGG,</w:t>
      </w:r>
    </w:p>
    <w:p>
      <w:r>
        <w:t xml:space="preserve">f) im Sinne des § 68 Abs. 2 Satz 1 des Infektionsschutzgesetzes,</w:t>
      </w:r>
    </w:p>
    <w:p>
      <w:r>
        <w:t xml:space="preserve">g) im Sinne des § 7 Abs. 1 Satz 1 des Opferentschädigungsgesetzes,</w:t>
      </w:r>
    </w:p>
    <w:p>
      <w:r>
        <w:t xml:space="preserve">h) nach dem Bayerischen Blindengeldgesetz,</w:t>
      </w:r>
    </w:p>
    <w:p>
      <w:r>
        <w:t xml:space="preserve">i) nach dem Sozialgesetzbuch Vierzehntes Buch</w:t>
      </w:r>
    </w:p>
    <w:p>
      <w:r>
        <w:t xml:space="preserve">durch das Zentrum Bayern Familie und Soziales,</w:t>
      </w:r>
    </w:p>
    <w:p>
      <w:r>
        <w:t xml:space="preserve">2. vorbehaltlich der Nr. 1</w:t>
      </w:r>
    </w:p>
    <w:p>
      <w:r>
        <w:t xml:space="preserve">a) in den Fällen des § 54 Abs. 1 und 2 SGG durch die Behörde, die den angefochtenen Verwaltungsakt erlassen hat oder von der der Erlass eines Verwaltungsakts begehrt wird,</w:t>
      </w:r>
    </w:p>
    <w:p>
      <w:r>
        <w:t xml:space="preserve">b) in den Fällen des § 54 Abs. 3 SGG durch die Aufsichtsbehörde, die die Anordnung erlassen hat,</w:t>
      </w:r>
    </w:p>
    <w:p>
      <w:r>
        <w:t xml:space="preserve">3. im Übrigen durch das Landesamt für Finanzen – Dienststelle Landshut (Bearbeitungsstelle München); dies gilt auch für die Vertretung des Freistaates Bayern vor den Gerichten der Sozialgerichtsbarkeit in Verfahren der Zwangsvollstreckung im Sinne des § 1 Abs. 1 Nr. 11.</w:t>
      </w:r>
    </w:p>
    <w:p>
      <w:r>
        <w:t xml:space="preserve">§ 4 Nr. 4 bleibt unberührt.</w:t>
      </w:r>
    </w:p>
    <w:p>
      <w:r>
        <w:rPr>
          <w:color w:val="555555"/>
          <w:sz w:val="17"/>
        </w:rPr>
        <w:t xml:space="preserve">Zitiervorschlag: § 6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