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VertrV (Bayern) — Verfahren kostenrechtlicher Art</w:t>
      </w:r>
    </w:p>
    <w:p>
      <w:r>
        <w:rPr>
          <w:color w:val="555555"/>
          <w:sz w:val="18"/>
        </w:rPr>
        <w:t xml:space="preserve">Vertretungsverordnung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In Verfahren kostenrechtlicher Art wird die Staatskasse vertreten vor</w:t>
      </w:r>
    </w:p>
    <w:p>
      <w:r>
        <w:t xml:space="preserve">1. dem Bundesverfassungsgericht und dem Bayerischen Verfassungsgerichtshof durch das Staatsministerium der Finanzen und für Heimat,</w:t>
      </w:r>
    </w:p>
    <w:p>
      <w:r>
        <w:t xml:space="preserve">2. den Gerichten der Finanzgerichtsbarkeit durch die Leitung der Präsidialgeschäftsstelle bei dem Finanzgericht,</w:t>
      </w:r>
    </w:p>
    <w:p>
      <w:r>
        <w:t xml:space="preserve">3. den Gerichten für Arbeitssachen durch den Bezirksrevisor bei dem Landesarbeitsgericht, in dessen Bezirk die Entscheidung ergangen ist,</w:t>
      </w:r>
    </w:p>
    <w:p>
      <w:r>
        <w:t xml:space="preserve">4. den Gerichten der Sozialgerichtsbarkeit durch den Prüfungsbeamten bei dem Landessozialgericht.</w:t>
      </w:r>
    </w:p>
    <w:p>
      <w:r>
        <w:rPr>
          <w:color w:val="555555"/>
          <w:sz w:val="17"/>
        </w:rPr>
        <w:t xml:space="preserve">Zitiervorschlag: § 4 VertrV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https://recht.nulegal.eu/gesetze/VertrV/4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