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VertrV (Bayern) — Inkrafttreten, Außerkrafttreten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Dezember 2021 in Kraft.</w:t>
      </w:r>
    </w:p>
    <w:p>
      <w:r>
        <w:t xml:space="preserve">(2) Die Vertretungsverordnung (VertrV) in der Fassung der Bekanntmachung vom 4. Oktober 1995 (GVBl. S. 733, BayRS 600-1-F), die zuletzt durch § 1 Abs. 303 der Verordnung vom 26. März 2019 (GVBl. S. 98) geändert worden ist, tritt mit Ablauf des 30. November 2021 außer Kraft.</w:t>
      </w:r>
    </w:p>
    <w:p>
      <w:r>
        <w:rPr>
          <w:color w:val="555555"/>
          <w:sz w:val="17"/>
        </w:rPr>
        <w:t xml:space="preserve">Zitiervorschlag: § 13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