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VertrV (Bayern) — Übertragung und Übernahme der Vertretung</w:t>
      </w:r>
    </w:p>
    <w:p>
      <w:r>
        <w:rPr>
          <w:color w:val="555555"/>
          <w:sz w:val="18"/>
        </w:rPr>
        <w:t xml:space="preserve">Vertretungsverordnung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das Staatsministerium der Finanzen und für Heimat Vertretungsbehörde, kann es die Vertretung</w:t>
      </w:r>
    </w:p>
    <w:p>
      <w:r>
        <w:t xml:space="preserve">1. auf eine andere Behörde seines Geschäftsbereichs übertragen,</w:t>
      </w:r>
    </w:p>
    <w:p>
      <w:r>
        <w:t xml:space="preserve">2. auf eine andere oberste Staatsbehörde übertragen, wenn diese zustimmt.</w:t>
      </w:r>
    </w:p>
    <w:p>
      <w:r>
        <w:t xml:space="preserve">Ist eine oberste Staatsbehörde Ausgangsbehörde, so bedarf die Übertragung nach Satz 1 Nr. 1 ihrer Zustimmung.</w:t>
      </w:r>
    </w:p>
    <w:p>
      <w:r>
        <w:t xml:space="preserve">(2) Ist eine Dienststelle des Landesamts für Finanzen Vertretungsbehörde, kann</w:t>
      </w:r>
    </w:p>
    <w:p>
      <w:r>
        <w:t xml:space="preserve">1. sie die Vertretung auf die Ausgangsbehörde übertragen, wenn diese zustimmt und personell und fachlich in der Lage ist, das Verfahren zu führen,</w:t>
      </w:r>
    </w:p>
    <w:p>
      <w:r>
        <w:t xml:space="preserve">2. das Staatsministerium der Finanzen und für Heimat die Vertretung</w:t>
      </w:r>
    </w:p>
    <w:p>
      <w:r>
        <w:t xml:space="preserve">a) übernehmen,</w:t>
      </w:r>
    </w:p>
    <w:p>
      <w:r>
        <w:t xml:space="preserve">b) innerhalb seines Geschäftsbereichs auf eine andere Stelle übertragen,</w:t>
      </w:r>
    </w:p>
    <w:p>
      <w:r>
        <w:t xml:space="preserve">c) unter den in Nr. 1 genannten Voraussetzungen auf die Ausgangsbehörde übertragen,</w:t>
      </w:r>
    </w:p>
    <w:p>
      <w:r>
        <w:t xml:space="preserve">d) auf eine andere oberste Staatsbehörde übertragen, wenn diese zustimmt.</w:t>
      </w:r>
    </w:p>
    <w:p>
      <w:r>
        <w:t xml:space="preserve">In Fällen von grundsätzlicher oder erheblicher finanzieller Bedeutung bedarf die Übertragung der Vertretung nach Satz 1 Nr. 1 der Zustimmung des Staatsministeriums der Finanzen und für Heimat.</w:t>
      </w:r>
    </w:p>
    <w:p>
      <w:r>
        <w:t xml:space="preserve">(3) Der Oberste Rechnungshof kann im Einzelfall seine Vertretung übernehmen.</w:t>
      </w:r>
    </w:p>
    <w:p>
      <w:r>
        <w:t xml:space="preserve">(4) In den Angelegenheiten des § 5 kann das Staatsministerium der Justiz im Einzelfall die Vertretung selbst übernehmen oder sie einer anderen Behörde oder einem anderen Beamten seines Geschäftsbereichs übertragen.</w:t>
      </w:r>
    </w:p>
    <w:p>
      <w:r>
        <w:t xml:space="preserve">(5) In den Angelegenheiten des § 6 Satz 1 Nr. 2 kann die zuständige oberste Staatsbehörde die Vertretung im Einzelfall selbst übernehmen oder sie einer anderen Behörde ihres Geschäftsbereichs übertragen.</w:t>
      </w:r>
    </w:p>
    <w:p>
      <w:r>
        <w:t xml:space="preserve">(6) Wird die Vertretung übergeben oder übernommen, sind die ursprünglich zuständige Vertretungsbehörde, die Beteiligten des Verfahrens und, wenn ein Rechtsstreit bereits anhängig ist, das Gericht zu verständigen.</w:t>
      </w:r>
    </w:p>
    <w:p>
      <w:r>
        <w:rPr>
          <w:color w:val="555555"/>
          <w:sz w:val="17"/>
        </w:rPr>
        <w:t xml:space="preserve">Zitiervorschlag: § 11 VertrV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