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VertrV (Bayern) — Geltungsbereich</w:t>
      </w:r>
    </w:p>
    <w:p>
      <w:r>
        <w:rPr>
          <w:color w:val="555555"/>
          <w:sz w:val="18"/>
        </w:rPr>
        <w:t xml:space="preserve">Vertretungsverordnung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Vorschriften dieser Verordnung gelten für die Vertretung des Freistaates Bayern</w:t>
      </w:r>
    </w:p>
    <w:p>
      <w:r>
        <w:t xml:space="preserve">1. vor den ordentlichen Gerichten</w:t>
      </w:r>
    </w:p>
    <w:p>
      <w:r>
        <w:t xml:space="preserve">a) in Verfahren der streitigen Gerichtsbarkeit,</w:t>
      </w:r>
    </w:p>
    <w:p>
      <w:r>
        <w:t xml:space="preserve">b) in Verfahren in Familiensachen, soweit Ansprüche des Freistaates Bayern aus übergegangenem oder übergehendem Recht betroffen sind,</w:t>
      </w:r>
    </w:p>
    <w:p>
      <w:r>
        <w:t xml:space="preserve">c) in Verfahren nach der Insolvenzordnung,</w:t>
      </w:r>
    </w:p>
    <w:p>
      <w:r>
        <w:t xml:space="preserve">d) in den in § 5 geregelten besonderen Fällen,</w:t>
      </w:r>
    </w:p>
    <w:p>
      <w:r>
        <w:t xml:space="preserve">e) in Verfahren nach dem Bundesentschädigungsgesetz (Entschädigungsverfahren),</w:t>
      </w:r>
    </w:p>
    <w:p>
      <w:r>
        <w:t xml:space="preserve">f) in Adhäsionsverfahren nach § 403 der Strafprozessordnung (StPO),</w:t>
      </w:r>
    </w:p>
    <w:p>
      <w:r>
        <w:t xml:space="preserve">g) in Verfahren in Baulandsachen im Sinne des § 217 Abs. 1 Satz 4 des Baugesetzbuchs (BauGB),</w:t>
      </w:r>
    </w:p>
    <w:p>
      <w:r>
        <w:t xml:space="preserve">h) in Verfahren der sofortigen Beschwerde gegen Entscheidungen der Vergabekammer nach § 171 des Gesetzes gegen Wettbewerbsbeschränkungen (GWB),</w:t>
      </w:r>
    </w:p>
    <w:p>
      <w:r>
        <w:t xml:space="preserve">2. vor den Gerichten für Arbeitssachen,</w:t>
      </w:r>
    </w:p>
    <w:p>
      <w:r>
        <w:t xml:space="preserve">3. vor den Gerichten der Verwaltungsgerichtsbarkeit</w:t>
      </w:r>
    </w:p>
    <w:p>
      <w:r>
        <w:t xml:space="preserve">a) in Verfahren, in denen der Freistaat Bayern</w:t>
      </w:r>
    </w:p>
    <w:p>
      <w:r>
        <w:t xml:space="preserve">aa) Klage erhebt,</w:t>
      </w:r>
    </w:p>
    <w:p>
      <w:r>
        <w:t xml:space="preserve">bb) Widerbeklagter ist oder</w:t>
      </w:r>
    </w:p>
    <w:p>
      <w:r>
        <w:t xml:space="preserve">cc) als Fiskus beigeladen wird,</w:t>
      </w:r>
    </w:p>
    <w:p>
      <w:r>
        <w:t xml:space="preserve">b) in Rechtsstreitigkeiten nach dem Gesetz über Arbeitnehmererfindungen,</w:t>
      </w:r>
    </w:p>
    <w:p>
      <w:r>
        <w:t xml:space="preserve">4. vor den Gerichten der Finanzgerichtsbarkeit</w:t>
      </w:r>
    </w:p>
    <w:p>
      <w:r>
        <w:t xml:space="preserve">a) in Verfahren kostenrechtlicher Art, soweit der Freistaat Bayern am Festsetzungsverfahren als Staatskasse beteiligt ist,</w:t>
      </w:r>
    </w:p>
    <w:p>
      <w:r>
        <w:t xml:space="preserve">b) in Verfahren, in denen eine Entschädigung wegen überlanger Verfahrensdauer geltend gemacht wird,</w:t>
      </w:r>
    </w:p>
    <w:p>
      <w:r>
        <w:t xml:space="preserve">5. vor den Gerichten der Sozialgerichtsbarkeit,</w:t>
      </w:r>
    </w:p>
    <w:p>
      <w:r>
        <w:t xml:space="preserve">6. vor dem Bundesverfassungsgericht und dem Bayerischen Verfassungsgerichtshof in Verfahren kostenrechtlicher Art, soweit der Freistaat Bayern am Festsetzungsverfahren als Staatskasse beteiligt ist,</w:t>
      </w:r>
    </w:p>
    <w:p>
      <w:r>
        <w:t xml:space="preserve">7. vor Schiedsgerichten,</w:t>
      </w:r>
    </w:p>
    <w:p>
      <w:r>
        <w:t xml:space="preserve">8. vor dem Bundespatentgericht,</w:t>
      </w:r>
    </w:p>
    <w:p>
      <w:r>
        <w:t xml:space="preserve">9. vor der Schiedsstelle bei dem Deutschen Patent- und Markenamt,</w:t>
      </w:r>
    </w:p>
    <w:p>
      <w:r>
        <w:t xml:space="preserve">10. vor dem Gerichtshof der Europäischen Union in den Fällen des § 10,</w:t>
      </w:r>
    </w:p>
    <w:p>
      <w:r>
        <w:t xml:space="preserve">11. in Verfahren der Zwangsvollstreckung, wenn</w:t>
      </w:r>
    </w:p>
    <w:p>
      <w:r>
        <w:t xml:space="preserve">a) die Zwangsvollstreckung für oder gegen den Freistaat Bayern auf Grund einer vollstreckbaren Urkunde im Sinne des § 794 Abs. 1 Nr. 5 der Zivilprozessordnung (ZPO) betrieben wird,</w:t>
      </w:r>
    </w:p>
    <w:p>
      <w:r>
        <w:t xml:space="preserve">b) die Zwangsvollstreckung auf Grund eines Vollstreckungstitels betrieben wird, der aus einem in den Nrn. 1 bis 10 genannten Verfahren einschließlich der Kostenfestsetzung hervorgegangen ist,</w:t>
      </w:r>
    </w:p>
    <w:p>
      <w:r>
        <w:t xml:space="preserve">c) der Freistaat Bayern in Verfahren der Zwangsversteigerung oder der Zwangsverwaltung kraft Gesetzes Beteiligter ist;</w:t>
      </w:r>
    </w:p>
    <w:p>
      <w:r>
        <w:t xml:space="preserve">als Verfahren der Zwangsvollstreckung gilt auch eine gegen einen der genannten Vollstreckungstitel gerichtete Klage, eine Vollstreckungsgegenklage oder ein anderer mit einem Verfahren der Zwangsvollstreckung zusammenhängender Rechtsstreit.</w:t>
      </w:r>
    </w:p>
    <w:p>
      <w:r>
        <w:t xml:space="preserve">(2) Von den Vorschriften dieser Verordnung bleiben unberührt</w:t>
      </w:r>
    </w:p>
    <w:p>
      <w:r>
        <w:t xml:space="preserve">1. Art. 21 Abs. 2 der Verfassung,</w:t>
      </w:r>
    </w:p>
    <w:p>
      <w:r>
        <w:t xml:space="preserve">2. die Rechte und Pflichten, die nach der Verwaltungsgerichtsordnung und der Verordnung über die Landesanwaltschaft Bayern den jeweils zuständigen Behörden obliegen, soweit es sich nicht um die in Abs. 1 Nr. 3 Buchst. b und Nr. 11 genannten Verfahren handelt,</w:t>
      </w:r>
    </w:p>
    <w:p>
      <w:r>
        <w:t xml:space="preserve">3. die Zuständigkeit der Finanzämter zur Geltendmachung und Verfolgung von Abgabenforderungen einschließlich Kosten und Gebühren in Verfahren nach der Insolvenzordnung sowie bei Pfändung eines Steuererstattungs- oder Steuervergünstigungsanspruchs,</w:t>
      </w:r>
    </w:p>
    <w:p>
      <w:r>
        <w:t xml:space="preserve">4. die Zuständigkeit der Finanzämter vor den Gerichten der Finanzgerichtsbarkeit in allen in Abs. 1 Nr. 4 nicht genannten Verfahren,</w:t>
      </w:r>
    </w:p>
    <w:p>
      <w:r>
        <w:t xml:space="preserve">5. die Vertretung vor dem Bundesverfassungsgericht und dem Bayerischen Verfassungsgerichtshof in allen in Abs. 1 Nr. 6 nicht genannten Verfahren und</w:t>
      </w:r>
    </w:p>
    <w:p>
      <w:r>
        <w:t xml:space="preserve">6. die Vorschriften der Zuständigkeitsverordnung über die Vertretung in Disziplinarsachen.</w:t>
      </w:r>
    </w:p>
    <w:p>
      <w:r>
        <w:rPr>
          <w:color w:val="555555"/>
          <w:sz w:val="17"/>
        </w:rPr>
        <w:t xml:space="preserve">Zitiervorschlag: § 1 VertrV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