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VertrGebErstG — Geltung des Rechtsanwaltsvergütungsgesetzes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Auf die Erstattung der Gebühren und Auslagen der Vertretung in Verfahren vor dem Deutschen Patent- und Markenamt und dem Bundespatentgericht sind im Übrigen die Vorschriften des Rechtsanwaltsvergütungsgesetzes, die für die Vergütung bei Prozesskostenhilfe gelten, sinngemäß mit folgenden Maßgaben anzuwenden:</w:t>
      </w:r>
    </w:p>
    <w:p>
      <w:pPr>
        <w:ind w:left="420"/>
      </w:pPr>
      <w:r>
        <w:t xml:space="preserve">1. im Prüfungsverfahren entsteht eine Verfahrensgebühr mit einem Gebührensatz von 0,5, im Übrigen mit einem Gebührensatz von 1,0;</w:t>
      </w:r>
    </w:p>
    <w:p>
      <w:pPr>
        <w:ind w:left="420"/>
      </w:pPr>
      <w:r>
        <w:t xml:space="preserve">2. im Verfahren vor dem Deutschen Patent- und Markenamt sind an Stelle der §§ 55 und 56 des Rechtsanwaltsvergütungsgesetzes § 62 Absatz 2 Satz 2 und 4 des Patentgesetzes sowie § 104 Absatz 2 der Zivilprozessordnung entsprechend anzuwenden.</w:t>
      </w:r>
    </w:p>
    <w:p>
      <w:r>
        <w:rPr>
          <w:color w:val="555555"/>
          <w:sz w:val="17"/>
        </w:rPr>
        <w:t xml:space="preserve">Zitiervorschlag: § 12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