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I. VertrBMinFSFJAnO</w:t>
      </w:r>
    </w:p>
    <w:p>
      <w:r>
        <w:rPr>
          <w:color w:val="555555"/>
          <w:sz w:val="18"/>
        </w:rPr>
        <w:t xml:space="preserve">Anordnung über die Vertretung des Bundes bei Klagen aus dem Beamtenverhältnis im Geschäftsbereich des Bundesministeriums für Familie, Senioren, Frauen und Jugend</w:t>
      </w:r>
    </w:p>
    <w:p>
      <w:r>
        <w:rPr>
          <w:color w:val="555555"/>
          <w:sz w:val="18"/>
        </w:rPr>
        <w:t xml:space="preserve">Historische Fassung: Stand 10.06.2019 bis 18.04.2024. Dies ist nicht die aktuelle Fassung.</w:t>
      </w:r>
    </w:p>
    <w:p>
      <w:r>
        <w:t xml:space="preserve">Auf Grund des § 174 Abs. 3 des Bundesbeamtengesetzes übertrage ich die Vertretung des Dienstherrn bei Klagen aus dem Beamtenverhältnis, soweit die Klagen Beamtinnen beziehungsweise Beamte der Besoldungsgruppen A 1 bis A 15 der Bundesbesoldungsordnung und entsprechende Beamtinnen und Beamte bis zur Anstellung betreffen, dem Bundesamt für den Zivildienst.</w:t>
      </w:r>
    </w:p>
    <w:p>
      <w:r>
        <w:rPr>
          <w:color w:val="555555"/>
          <w:sz w:val="17"/>
        </w:rPr>
        <w:t xml:space="preserve">Zitiervorschlag: I. VertrBMinFSFJAnO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https://recht.nulegal.eu/gesetze/VertrBMinFSFJAnO/i.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