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VerstromG3AbwG — Auflösung des Ausgleichsfonds</w:t>
      </w:r>
    </w:p>
    <w:p>
      <w:r>
        <w:rPr>
          <w:color w:val="555555"/>
          <w:sz w:val="18"/>
        </w:rPr>
        <w:t xml:space="preserve">Gesetz zur Abwicklung des Ausgleichsfonds nach dem Dritten Verstromungsgesetz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Der Ausgleichsfonds wird zum 31. Dezember 2000 aufgelöst.</w:t>
      </w:r>
    </w:p>
    <w:p>
      <w:r>
        <w:t xml:space="preserve">(2) Der Bund tritt in die Rechte und Pflichten des Ausgleichsfonds ein.</w:t>
      </w:r>
    </w:p>
    <w:p>
      <w:r>
        <w:t xml:space="preserve">(3) Dem Bundesamt für Wirtschaft und Ausfuhrkontrolle (BAFA) bleibt die Aufgabe übertragen, die Ansprüche und Verpflichtungen nach § 1 Abs. 2 abzurechnen.</w:t>
      </w:r>
    </w:p>
    <w:p>
      <w:r>
        <w:rPr>
          <w:color w:val="555555"/>
          <w:sz w:val="17"/>
        </w:rPr>
        <w:t xml:space="preserve">Zitiervorschlag: § 3 VerstromG3AbwG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https://recht.nulegal.eu/gesetze/VerstromG3AbwG/3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