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VerstV 2003 — Untersagung, Aufhebung und Unterbrechung der Versteigerung</w:t>
      </w:r>
    </w:p>
    <w:p>
      <w:r>
        <w:rPr>
          <w:color w:val="555555"/>
          <w:sz w:val="18"/>
        </w:rPr>
        <w:t xml:space="preserve">Versteigererverordnung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zuständige Behörde kann die Versteigerung ganz oder teilweise untersagen oder eine begonnene Versteigerung aufheben oder unterbrechen, wenn der Versteigerer gegen § 34b Abs. 6 oder 7 der Gewerbeordnung oder gegen die §§ 2, 3 oder § 6 Absatz 2 dieser Verordnung verstößt oder verstoßen hat.</w:t>
      </w:r>
    </w:p>
    <w:p>
      <w:r>
        <w:rPr>
          <w:color w:val="555555"/>
          <w:sz w:val="17"/>
        </w:rPr>
        <w:t xml:space="preserve">Zitiervorschlag: § 9 VerstV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https://recht.nulegal.eu/gesetze/VerstV%202003/9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