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VerstV 2003 — Ausnahme von den verbotenen Tätigkeiten</w:t>
      </w:r>
    </w:p>
    <w:p>
      <w:r>
        <w:rPr>
          <w:color w:val="555555"/>
          <w:sz w:val="18"/>
        </w:rPr>
        <w:t xml:space="preserve">Versteigererverordnung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Das Verbot der Versteigerung von Waren, die in offenen Verkaufsstellen feilgeboten werden und die ungebraucht sind oder deren bestimmungsgemäßer Gebrauch in ihrem Verbrauch besteht (§ 34b Abs. 6 Nr. 5 Buchstabe b der Gewerbeordnung), gilt nicht, wenn das Versteigerungsgut</w:t>
      </w:r>
    </w:p>
    <w:p>
      <w:pPr>
        <w:ind w:left="420"/>
      </w:pPr>
      <w:r>
        <w:t xml:space="preserve">1. zu einem Nachlass oder einer Insolvenzmasse gehört,</w:t>
      </w:r>
    </w:p>
    <w:p>
      <w:pPr>
        <w:ind w:left="420"/>
      </w:pPr>
      <w:r>
        <w:t xml:space="preserve">2. wegen Geschäftsaufgabe veräußert wird,</w:t>
      </w:r>
    </w:p>
    <w:p>
      <w:pPr>
        <w:ind w:left="420"/>
      </w:pPr>
      <w:r>
        <w:t xml:space="preserve">3. im Wege der öffentlichen Versteigerung auf Grund gesetzlicher Vorschrift veräußert wird (§ 383 Absatz 2 des Bürgerlichen Gesetzbuchs).</w:t>
      </w:r>
    </w:p>
    <w:p>
      <w:r>
        <w:t xml:space="preserve">Die zuständige Behörde kann im Einzelfall nach Anhörung der für den Versteigerungsort zuständigen Industrie- und Handelskammer weitere Ausnahmen zulassen, wenn nicht zu befürchten ist, dass die Versteigerung den Absatz vergleichbarer Waren im Einzelhandel empfindlich beeinträchtigen würde.</w:t>
      </w:r>
    </w:p>
    <w:p>
      <w:r>
        <w:t xml:space="preserve">(2) Der Versteigerer darf in den Fällen des Absatzes 1 Satz 1 nicht versteigern, wenn</w:t>
      </w:r>
    </w:p>
    <w:p>
      <w:pPr>
        <w:ind w:left="420"/>
      </w:pPr>
      <w:r>
        <w:t xml:space="preserve">1. die Versteigerung in räumlichem oder zeitlichem Zusammenhang mit einer anderen Verkaufsveranstaltung steht, es sei denn, es handelt sich um einen Räumungsverkauf wegen Geschäftsaufgabe, oder</w:t>
      </w:r>
    </w:p>
    <w:p>
      <w:pPr>
        <w:ind w:left="420"/>
      </w:pPr>
      <w:r>
        <w:t xml:space="preserve">2. das Versteigerungsgut zum Zweck der Versteigerung in eine andere Gemeinde verbracht ist; dies gilt nicht, soweit der Versteigerer glaubhaft macht, dass es sich um einen Versteigerungsort im Sinne des § 383 Absatz 2 des Bürgerlichen Gesetzbuchs handelt.</w:t>
      </w:r>
    </w:p>
    <w:p>
      <w:r>
        <w:t xml:space="preserve">Die für den Versteigerungsort zuständige Behörde kann im Einzelfall unter den Voraussetzungen des Absatzes 1 Satz 2 Ausnahmen zulassen.</w:t>
      </w:r>
    </w:p>
    <w:p>
      <w:r>
        <w:rPr>
          <w:color w:val="555555"/>
          <w:sz w:val="17"/>
        </w:rPr>
        <w:t xml:space="preserve">Zitiervorschlag: § 6 VerstV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https://recht.nulegal.eu/gesetze/VerstV%202003/6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