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VerstV 2003 — Verzeichnis</w:t>
      </w:r>
    </w:p>
    <w:p>
      <w:r>
        <w:rPr>
          <w:color w:val="555555"/>
          <w:sz w:val="18"/>
        </w:rPr>
        <w:t xml:space="preserve">Versteigererverordnung</w:t>
      </w:r>
    </w:p>
    <w:p>
      <w:r>
        <w:rPr>
          <w:color w:val="555555"/>
          <w:sz w:val="18"/>
        </w:rPr>
        <w:t xml:space="preserve">Stand: 01.01.2025 (konsolidierte Textfassung, kein amtliches Inkrafttretensdatum)</w:t>
      </w:r>
    </w:p>
    <w:p>
      <w:r>
        <w:t xml:space="preserve">(1) Der Versteigerer hat bis spätestens zwei Wochen vor der Versteigerung ein Verzeichnis der zu versteigernden Sachen anzufertigen, in dem das Versteigerungsgut jedes Auftraggebers einheitlich zu kennzeichnen ist. Das Versteigerungsgut ist durch den Namen des Auftraggebers oder durch Deckworte, Buchstaben oder Zahlen bei jeder einzelnen Nummer des Verzeichnisses oder bei übersichtlichen Zusammenstellungen der den einzelnen Auftraggebern gehörenden Sachen zu kennzeichnen. Bei den Zusammenstellungen sind die Sachen, die dem Versteigerer gehören, gesondert aufzuführen und als solche zu kennzeichnen.</w:t>
      </w:r>
    </w:p>
    <w:p>
      <w:r>
        <w:t xml:space="preserve">(2) Absatz 1 gilt nicht für Briefmarkenversteigerungen, Münzversteigerungen und öffentliche Versteigerungen auf Grund gesetzlicher Vorschrift (§ 383 Absatz 2 des Bürgerlichen Gesetzbuchs). Bei freiwilligen Hausrat- und Nachlassversteigerungen können durch die am Versteigerungsort zuständige Behörde Ausnahmen von den Anforderungen nach Absatz 1 zugelassen werden.</w:t>
      </w:r>
    </w:p>
    <w:p>
      <w:r>
        <w:rPr>
          <w:color w:val="555555"/>
          <w:sz w:val="17"/>
        </w:rPr>
        <w:t xml:space="preserve">Zitiervorschlag: § 2 VerstV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https://recht.nulegal.eu/gesetze/VerstV%202003/2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