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VersoG (Bayern) — Eigenständige Geschäftsführung, Verordnungsermächtigung</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Verwaltungsrat kann mit einer Mehrheit von mindestens zwei Drittel seiner Mitglieder beschließen, dass ein Modell entwickelt wird, nach dem die Geschäfte der Versorgungsanstalt nach einem Ausscheiden aus der gemeinsamen Geschäftsführung und dem Verwaltungsverbund der Versorgungskammer durch ein eigenständiges Geschäftsführungsorgan geführt werden (neues Geschäftsführungsmodell). Die Versorgungsanstalt trägt die anfallenden Kosten.</w:t>
      </w:r>
    </w:p>
    <w:p>
      <w:r>
        <w:t xml:space="preserve">(2) Der Verwaltungsrat der Versorgungsanstalt beschließt mit einer Mehrheit von mindestens zwei Drittel seiner Mitglieder, dass das neue Geschäftsführungsmodell dem Staatsministerium vorgelegt wird.</w:t>
      </w:r>
    </w:p>
    <w:p>
      <w:r>
        <w:t xml:space="preserve">(3) Hat das Staatsministerium der Versorgungsanstalt mitgeteilt, dass das neue Geschäftsführungsmodell eine ordnungsgemäße Verwaltung der ausscheidenden Versorgungsanstalt auf Dauer erwarten lässt, legt die Versorgungsanstalt das neue Geschäftsführungsmodell den Mitgliedern der Versorgungsanstalt, bei der Versorgungsanstalt der Kaminkehrergesellen den Mitgliedern und Versicherten, zur Abstimmung vor.</w:t>
      </w:r>
    </w:p>
    <w:p>
      <w:r>
        <w:t xml:space="preserve">(4) Das Staatsministerium leitet die erforderlichen Maßnahmen zur Umsetzung des neuen Geschäftsführungsmodells ein, wenn die Mehrheit der in Abs. 3 genannten Mitglieder und Versicherten dem neuen Geschäftsführungsmodell zugestimmt hat. Es bestimmt durch Rechtsverordnung, dass die Geschäftsführung einzelner Versorgungsanstalten einem von Art. 2 und 6 Abs. 1 abweichenden Geschäftsführungsorgan übertragen wird, wenn sichergestellt ist, dass die Verwaltung der anderen Versorgungsanstalten durch die Versorgungskammer sachgerecht fortgeführt werden kann und bestehende Staatsverträge dem neuen Geschäftsführungsmodell angepasst oder gekündigt sind; die Verordnung muss Regelungen enthalten über die Organisation und die Aufgaben des Geschäftsführungsorgans, über die Bestellung seiner Mitglieder und deren Entlastung.</w:t>
      </w:r>
    </w:p>
    <w:p>
      <w:r>
        <w:rPr>
          <w:color w:val="555555"/>
          <w:sz w:val="17"/>
        </w:rPr>
        <w:t xml:space="preserve">Zitiervorschlag: Art 7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