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VersoG (Bayern) — Leistungen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Versorgungsanstalt gewährt Witwen- und Witwergeld, Waisengeld und Sterbegeld sowie freiwillige Leistungen nach Maßgabe der Satzung.</w:t>
      </w:r>
    </w:p>
    <w:p>
      <w:r>
        <w:t xml:space="preserve">(2) Die Versorgungsleistungen sollen nach Maßgabe der Satzung der allgemeinen wirtschaftlichen Entwicklung unter Berücksichtigung der finanziellen Lage der Versorgungsanstalt angepasst werden.</w:t>
      </w:r>
    </w:p>
    <w:p>
      <w:r>
        <w:t xml:space="preserve">(3) Die Pensionskasse des Schornsteinfegerhandwerks gewährt den Versicherten und ihren Hinterbliebenen Leistungen nach Maßgabe des Betriebsrentengesetzes und der Satzung.</w:t>
      </w:r>
    </w:p>
    <w:p>
      <w:r>
        <w:rPr>
          <w:color w:val="555555"/>
          <w:sz w:val="17"/>
        </w:rPr>
        <w:t xml:space="preserve">Zitiervorschlag: Art 51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