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43 VersoG (Bayern) — Umlagen, Beiträge</w:t>
      </w:r>
    </w:p>
    <w:p>
      <w:r>
        <w:rPr>
          <w:color w:val="555555"/>
          <w:sz w:val="18"/>
        </w:rPr>
        <w:t xml:space="preserve">Gesetz über das öffentliche Versorgungswesen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Mitglieder sind zur Zahlung der satzungsmäßigen Umlagen und Beiträge verpflichtet. Die Umlagen und Beiträge haben die Aufwendungen einschließlich der Verwaltungskosten und die Bildung einer angemessenen Rücklage zu berücksichtigen.</w:t>
      </w:r>
    </w:p>
    <w:p>
      <w:r>
        <w:t xml:space="preserve">(2) Art. 31 Abs. 4 gilt entsprechend.</w:t>
      </w:r>
    </w:p>
    <w:p>
      <w:r>
        <w:rPr>
          <w:color w:val="555555"/>
          <w:sz w:val="17"/>
        </w:rPr>
        <w:t xml:space="preserve">Zitiervorschlag: Art 43 VersoG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https://recht.nulegal.eu/gesetze/VersoG/43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