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VersoG (Bayern) — Verwaltungsrat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Verwaltungsrat sollen die bayerischen Gemeinden und Landkreise angemessen vertreten sein. Das Vorschlagsrecht steht den Spitzenverbänden der Pflichtmitglieder zu. Das Nähere regelt die Satzung.</w:t>
      </w:r>
    </w:p>
    <w:p>
      <w:r>
        <w:t xml:space="preserve">(2) Der Verwaltungsrat beschließt die satzungsmäßigen Umlagen und Beiträge.</w:t>
      </w:r>
    </w:p>
    <w:p>
      <w:r>
        <w:rPr>
          <w:color w:val="555555"/>
          <w:sz w:val="17"/>
        </w:rPr>
        <w:t xml:space="preserve">Zitiervorschlag: Art 41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