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VersoG (Bayern) — Datenübermittlung</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Rechtsanwalts- und die Steuerberaterkammern in Bayern übermitteln der Bayerischen Rechtsanwalts- und Steuerberaterversorgung jeweils den Namen, das Geburtsdatum, die Anschrift, die Art der Zulassung oder Bestellung sowie den Beginn und das Ende der Kammermitgliedschaft ihrer Mitglieder, sofern dies für deren Mitgliedschaft bei der Bayerischen Rechtsanwalts- und Steuerberaterversorgung von Bedeutung sein kann.</w:t>
      </w:r>
    </w:p>
    <w:p>
      <w:r>
        <w:t xml:space="preserve">(2) Die Patentanwaltskammer übermittelt der Bayerischen Rechtsanwalts- und Steuerberaterversorgung jeweils den Namen, das Geburtsdatum, die Anschrift und die Art der Zulassung der Kammermitglieder mit Kanzleisitz in Bayern sowie den jeweiligen Zeitpunkt der Einrichtung und der Aufgabe des Kanzleisitzes in Bayern.</w:t>
      </w:r>
    </w:p>
    <w:p>
      <w:r>
        <w:rPr>
          <w:color w:val="555555"/>
          <w:sz w:val="17"/>
        </w:rPr>
        <w:t xml:space="preserve">Zitiervorschlag: Art 39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