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VersoG (Bayern) — Bayerische Rechtsanwalts- und Steuerberaterversorgung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Pflichtmitglieder der Bayerischen Rechtsanwalts- und Steuerberaterversorgung sind</w:t>
      </w:r>
    </w:p>
    <w:p>
      <w:r>
        <w:t xml:space="preserve">1. alle nicht berufsunfähigen Mitglieder der Rechtsanwalts- und Steuerberaterkammern in Bayern, soweit sie natürliche Personen sind,</w:t>
      </w:r>
    </w:p>
    <w:p>
      <w:r>
        <w:t xml:space="preserve">2. alle nicht berufsunfähigen Mitglieder der Patentanwaltskammer, soweit sie natürliche Personen sind und solange sie ihren Kanzleisitz im Freistaat Bayern eingerichtet haben.</w:t>
      </w:r>
    </w:p>
    <w:p>
      <w:r>
        <w:rPr>
          <w:color w:val="555555"/>
          <w:sz w:val="17"/>
        </w:rPr>
        <w:t xml:space="preserve">Zitiervorschlag: Art 38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