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32a VersoG (Bayern) — Rückforderung von Geldleistungen</w:t>
      </w:r>
    </w:p>
    <w:p>
      <w:r>
        <w:rPr>
          <w:color w:val="555555"/>
          <w:sz w:val="18"/>
        </w:rPr>
        <w:t xml:space="preserve">Gesetz über das öffentliche Versorgungswesen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Rückforderung von Geldleistungen, die für die Zeit nach dem Tod des Berechtigten erbracht worden sind, gilt § 118 Abs. 3 bis 4a SGB VI in der am 1. Februar 2018 geltenden Fassung entsprechend.</w:t>
      </w:r>
    </w:p>
    <w:p>
      <w:r>
        <w:rPr>
          <w:color w:val="555555"/>
          <w:sz w:val="17"/>
        </w:rPr>
        <w:t xml:space="preserve">Zitiervorschlag: Art 32a VersoG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https://recht.nulegal.eu/gesetze/VersoG/32a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