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27 VersoG (Bayern) — Vollstreckung</w:t>
      </w:r>
    </w:p>
    <w:p>
      <w:r>
        <w:rPr>
          <w:color w:val="555555"/>
          <w:sz w:val="18"/>
        </w:rPr>
        <w:t xml:space="preserve">Gesetz über das öffentliche Versorgungswesen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Versorgungsanstalten sind zur Anbringung der Vollstreckungsklausel befugt. Die Vollstreckung richtet sich nach dem Bayerischen Verwaltungszustellungs- und Vollstreckungsgesetz. Nebenforderungen können mit der Hauptforderung beigetrieben werden, wenn zuvor auf die Zahlungspflicht dem Grunde nach schriftlich hingewiesen worden ist.</w:t>
      </w:r>
    </w:p>
    <w:p>
      <w:r>
        <w:rPr>
          <w:color w:val="555555"/>
          <w:sz w:val="17"/>
        </w:rPr>
        <w:t xml:space="preserve">Zitiervorschlag: Art 27 VersoG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https://recht.nulegal.eu/gesetze/VersoG/27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