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VersoG (Bayern) — Verordnungsermächtigung</w:t>
      </w:r>
    </w:p>
    <w:p>
      <w:r>
        <w:rPr>
          <w:color w:val="555555"/>
          <w:sz w:val="18"/>
        </w:rPr>
        <w:t xml:space="preserve">Gesetz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wird ermächtigt, durch Rechtsverordnung Vorschriften zu erlassen über</w:t>
      </w:r>
    </w:p>
    <w:p>
      <w:r>
        <w:t xml:space="preserve">1. die Bestandteile des technischen Geschäftsplans gemäß Art. 11 Abs. 1 Satz 2 Nr. 2,</w:t>
      </w:r>
    </w:p>
    <w:p>
      <w:r>
        <w:t xml:space="preserve">2. nähere Bestimmungen zur Rechnungslegung gemäß Art. 12 und über die Art und Weise der Offenlegung des Jahresabschlusses,</w:t>
      </w:r>
    </w:p>
    <w:p>
      <w:r>
        <w:t xml:space="preserve">3. Abweichungen von den gemäß Art. 12 Abs. 1 entsprechend anwendbaren Rechnungslegungsvorschriften, insbesondere um die besonderen Aufgaben der Versorgungsanstalten und die gemeinsame Geschäftsführung zu berücksichtigen,</w:t>
      </w:r>
    </w:p>
    <w:p>
      <w:r>
        <w:t xml:space="preserve">4. Mindestanforderungen an die versicherungsmathematischen Rechnungsgrundlagen gemäß Art. 12,</w:t>
      </w:r>
    </w:p>
    <w:p>
      <w:r>
        <w:t xml:space="preserve">5. Zuführungen zu und Entnahmen aus der Sicherheitsrücklage gemäß Art. 14,</w:t>
      </w:r>
    </w:p>
    <w:p>
      <w:r>
        <w:t xml:space="preserve">6. die Anlage des Vermögens einschließlich von Regelungen zur Sicherstellung eines risikoadäquaten Kapitalanlagemanagements gemäß Art. 15,</w:t>
      </w:r>
    </w:p>
    <w:p>
      <w:r>
        <w:t xml:space="preserve">7. Einzelheiten zum Testat, zum Aktuarsbericht und zum versicherungsmathematischen Gutachten des Verantwortlichen Aktuars gemäß Art. 16,</w:t>
      </w:r>
    </w:p>
    <w:p>
      <w:r>
        <w:t xml:space="preserve">8. die Berichtspflichten der Versorgungsanstalten gegenüber der Aufsichtsbehörde sowie über den Inhalt der Berichte des Abschlussprüfers, soweit dies zur Durchführung der Aufsicht erforderlich ist, und</w:t>
      </w:r>
    </w:p>
    <w:p>
      <w:r>
        <w:t xml:space="preserve">9. die Verteilung der Kostenlast gemäß Art. 18 Abs. 6 Satz 2.</w:t>
      </w:r>
    </w:p>
    <w:p>
      <w:r>
        <w:rPr>
          <w:color w:val="555555"/>
          <w:sz w:val="17"/>
        </w:rPr>
        <w:t xml:space="preserve">Zitiervorschlag: Art 20 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