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VersoG (Bayern) — Organe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jeder Versorgungsanstalt sind</w:t>
      </w:r>
    </w:p>
    <w:p>
      <w:r>
        <w:t xml:space="preserve">1. der bei dieser gebildete Verwaltungsrat,</w:t>
      </w:r>
    </w:p>
    <w:p>
      <w:r>
        <w:t xml:space="preserve">2. die Versorgungskammer.</w:t>
      </w:r>
    </w:p>
    <w:p>
      <w:r>
        <w:t xml:space="preserve">Der Verwaltungsrat kann sich in der Satzung den Namen „Landesausschuss“ geben.</w:t>
      </w:r>
    </w:p>
    <w:p>
      <w:r>
        <w:rPr>
          <w:color w:val="555555"/>
          <w:sz w:val="17"/>
        </w:rPr>
        <w:t xml:space="preserve">Zitiervorschlag: Art 2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