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VersoG (Bayern) — Vermögensanlage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Versorgungsanstalten haben ihre gesamten Vermögenswerte nach dem Grundsatz der unternehmerischen Vorsicht unter Einhaltung der Anforderungen des § 124 Abs. 1 Satz 2 des Versicherungsaufsichtsgesetzes (VAG) in der am 1. Februar 2018 geltenden Fassung anzulegen. Das gebundene Vermögen darf nur nach Maßgabe des § 215 Abs. 2 Satz 1 Nr. 1 bis 7 und Satz 2 VAG und § 9 der Verordnung zur Durchführung des Gesetzes über das öffentliche Versorgungswesen (DVVersoG) angelegt werden. Ein risikoadäquates Kapitalanlagemanagement mit ausreichenden Sicherheitsreserven ist sicherzustellen. Der Umfang des gebundenen Vermögens muss mindestens</w:t>
      </w:r>
    </w:p>
    <w:p>
      <w:r>
        <w:t xml:space="preserve">1. der Summe der versicherungstechnischen Rückstellungen ohne die freien Mittel der Rückstellung für künftige Leistungsverbesserungen zuzüglich</w:t>
      </w:r>
    </w:p>
    <w:p>
      <w:r>
        <w:t xml:space="preserve">2. der aus den Versorgungsverhältnissen entstandenen Verbindlichkeiten und Rechnungsabgrenzungsposten</w:t>
      </w:r>
    </w:p>
    <w:p>
      <w:r>
        <w:t xml:space="preserve">entsprechen. Bei der Berechnung des Mindestumfangs des gebundenen Vermögens können Beträge in Höhe der Beitragsforderungen aus dem selbst abgeschlossenen Versicherungsgeschäft außer Ansatz bleiben, wenn insoweit kein Leistungsanspruch besteht.</w:t>
      </w:r>
    </w:p>
    <w:p>
      <w:r>
        <w:rPr>
          <w:color w:val="555555"/>
          <w:sz w:val="17"/>
        </w:rPr>
        <w:t xml:space="preserve">Zitiervorschlag: Art 15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