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VersoG (Bayern) — Wirtschaftsplanung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Versorgungskammer stellt für jede Versorgungsanstalt auf der Grundlage des Geschäftsplans (Art. 11) einen Erfolgsplan entsprechend der Gliederung der Gewinn- und Verlustrechnung sowie einen Kostenplan (Wirtschaftsplanung) für das kommende Geschäftsjahr auf; dabei ist die Wirtschaftsplanung für die gemeinsamen Dienste zu berücksichtigen.</w:t>
      </w:r>
    </w:p>
    <w:p>
      <w:r>
        <w:t xml:space="preserve">(2) Die Versorgungskammer legt die Wirtschaftsplanung rechtzeitig vor Beginn des neuen Geschäftsjahres dem Verwaltungsrat der Versorgungsanstalt vor. Der Verwaltungsrat beschließt über die Wirtschaftsplanung. Soweit eine einvernehmliche Wirtschaftsplanung zwischen der Versorgungskammer und dem Verwaltungsrat nicht rechtzeitig vor Beginn des neuen Geschäftsjahres zustande kommt, entscheidet die Aufsichtsbehörde.</w:t>
      </w:r>
    </w:p>
    <w:p>
      <w:r>
        <w:t xml:space="preserve">(3) Die Wirtschaftsplanung ist Grundlage für die Wirtschaftsführung der Versorgungsanstalt.</w:t>
      </w:r>
    </w:p>
    <w:p>
      <w:r>
        <w:rPr>
          <w:color w:val="555555"/>
          <w:sz w:val="17"/>
        </w:rPr>
        <w:t xml:space="preserve">Zitiervorschlag: Art 13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