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VersoG (Bayern) — Rechtsform, Sitz, Geltungsbereich, Verordnungsermächtigung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Bayerischen Versicherungskammer-Versorgung (Versorgungskammer) bestehen folgende rechtsfähige Anstalten des öffentlichen Rechts mit Selbstverwaltung (Versorgungsanstalten):</w:t>
      </w:r>
    </w:p>
    <w:p>
      <w:r>
        <w:t xml:space="preserve">1. die Bayerische Ärzteversorgung,</w:t>
      </w:r>
    </w:p>
    <w:p>
      <w:r>
        <w:t xml:space="preserve">2. die Bayerische Apothekerversorgung,</w:t>
      </w:r>
    </w:p>
    <w:p>
      <w:r>
        <w:t xml:space="preserve">3. die Bayerische Architektenversorgung,</w:t>
      </w:r>
    </w:p>
    <w:p>
      <w:r>
        <w:t xml:space="preserve">4. die Bayerische Ingenieurversorgung-Bau mit Psychotherapeutenversorgung,</w:t>
      </w:r>
    </w:p>
    <w:p>
      <w:r>
        <w:t xml:space="preserve">5. die Bayerische Rechtsanwalts- und Steuerberaterversorgung,</w:t>
      </w:r>
    </w:p>
    <w:p>
      <w:r>
        <w:t xml:space="preserve">6. der Bayerische Versorgungsverband,</w:t>
      </w:r>
    </w:p>
    <w:p>
      <w:r>
        <w:t xml:space="preserve">7. die Versorgungsanstalt der Kaminkehrergesellen mit Pensionskasse des Schornsteinfegerhandwerks.</w:t>
      </w:r>
    </w:p>
    <w:p>
      <w:r>
        <w:t xml:space="preserve">Ihr Sitz wird durch Rechtsverordnung des Staatsministeriums des Innern, für Sport und Integration (Staatsministerium) bestimmt.</w:t>
      </w:r>
    </w:p>
    <w:p>
      <w:r>
        <w:rPr>
          <w:color w:val="555555"/>
          <w:sz w:val="17"/>
        </w:rPr>
        <w:t xml:space="preserve">Zitiervorschlag: Art 1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