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Die Todeserklärung begründet die Vermutung, daß der Verschollene in dem im Beschluß festgestellten Zeitpunkt gestorben ist. Dies gilt auch, wenn vor der Todeserklärung ein anderer Zeitpunkt im Sterberegister eingetragen ist.</w:t>
      </w:r>
    </w:p>
    <w:p>
      <w:r>
        <w:t xml:space="preserve">(2) Als Zeitpunkt des Todes ist der Zeitpunkt festzustellen, der nach dem Ergebnis der Ermittlungen der wahrscheinlichste ist.</w:t>
      </w:r>
    </w:p>
    <w:p>
      <w:r>
        <w:t xml:space="preserve">(3) Läßt sich ein solcher Zeitpunkt nicht angeben, so ist als Zeitpunkt des Todes festzustellen:</w:t>
      </w:r>
    </w:p>
    <w:p>
      <w:pPr>
        <w:ind w:left="780"/>
      </w:pPr>
      <w:r>
        <w:t xml:space="preserve">a) in den Fällen des § 3 das Ende des fünften Jahres oder, wenn der Verschollene das achtzigste Lebensjahr vollendet hätte, des dritten Jahres nach dem letzten Jahr, in dem der Verschollene den vorhandenen Nachrichten zufolge noch gelebt hat;</w:t>
      </w:r>
    </w:p>
    <w:p>
      <w:pPr>
        <w:ind w:left="780"/>
      </w:pPr>
      <w:r>
        <w:t xml:space="preserve">b) in den Fällen des § 4 der Zeitpunkt, in dem der Verschollene vermißt worden ist;</w:t>
      </w:r>
    </w:p>
    <w:p>
      <w:pPr>
        <w:ind w:left="780"/>
      </w:pPr>
      <w:r>
        <w:t xml:space="preserve">c) in den Fällen der §§ 5 und 6 der Zeitpunkt, in dem das Schiff untergegangen, das Luftfahrzeug zerstört oder das sonstige die Verschollenheit begründende Ereignis eingetreten oder - falls dies nicht feststellbar ist - der Verschollene zuerst vermißt worden ist;</w:t>
      </w:r>
    </w:p>
    <w:p>
      <w:pPr>
        <w:ind w:left="780"/>
      </w:pPr>
      <w:r>
        <w:t xml:space="preserve">d) in den Fällen des § 7 der Beginn der Lebensgefahr.</w:t>
      </w:r>
    </w:p>
    <w:p>
      <w:r>
        <w:t xml:space="preserve">(4) Ist die Todeszeit nur dem Tage nach festgestellt, so gilt das Ende des Tages als Zeitpunkt des Todes.</w:t>
      </w:r>
    </w:p>
    <w:p>
      <w:r>
        <w:rPr>
          <w:color w:val="555555"/>
          <w:sz w:val="17"/>
        </w:rPr>
        <w:t xml:space="preserve">Zitiervorschlag: § 9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