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VerschG</w:t>
      </w:r>
    </w:p>
    <w:p>
      <w:r>
        <w:rPr>
          <w:color w:val="555555"/>
          <w:sz w:val="18"/>
        </w:rPr>
        <w:t xml:space="preserve">Verschollenheitsgesetz</w:t>
      </w:r>
    </w:p>
    <w:p>
      <w:r>
        <w:rPr>
          <w:color w:val="555555"/>
          <w:sz w:val="18"/>
        </w:rPr>
        <w:t xml:space="preserve">Stand: 10.06.2019 (konsolidierte Textfassung, kein amtliches Inkrafttretensdatum)</w:t>
      </w:r>
    </w:p>
    <w:p>
      <w:r>
        <w:t xml:space="preserve">(1) Wer bei einer Fahrt auf See, insbesondere infolge Untergangs des Schiffes, verschollen ist, kann für tot erklärt werden, wenn seit dem Untergang des Schiffes oder dem sonstigen die Verschollenheit begründenden Ereignis sechs Monate verstrichen sind.</w:t>
      </w:r>
    </w:p>
    <w:p>
      <w:r>
        <w:t xml:space="preserve">(2) Ist der Untergang des Schiffes, der die Verschollenheit begründet haben soll, nicht feststellbar, so beginnt die Frist von sechs Monaten (Absatz 1) erst ein Jahr nach dem letzten Zeitpunkt, zu dem das Schiff nach den vorhandenen Nachrichten noch nicht untergegangen war; das Gericht kann diesen Zeitraum von einem Jahr bis auf drei Monate verkürzen, wenn nach anerkannter seemännischer Erfahrung wegen der Beschaffenheit und Ausrüstung des Schiffes, im Hinblick auf die Gewässer, durch welche die Fahrt führen sollte, oder aus sonstigen Gründen anzunehmen ist, daß das Schiff schon früher untergegangen ist.</w:t>
      </w:r>
    </w:p>
    <w:p>
      <w:r>
        <w:rPr>
          <w:color w:val="555555"/>
          <w:sz w:val="17"/>
        </w:rPr>
        <w:t xml:space="preserve">Zitiervorschlag: § 5 VerschG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https://recht.nulegal.eu/gesetze/VerschG/5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