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Ist der Eintritt einer Rechtswirkung an den Erlaß des die Todeserklärung aussprechenden Urteils geknüpft, so tritt sie, wenn ein Verschollener nach diesem Gesetz für tot erklärt wird, mit dem Zeitpunkt ein, in dem die Todeserklärung wirksam wird.</w:t>
      </w:r>
    </w:p>
    <w:p>
      <w:r>
        <w:t xml:space="preserve">(2) Der Aufhebung einer Todeserklärung infolge einer Anfechtungsklage steht deren Aufhebung oder Änderung nach den §§ 30 bis 33a dieses Gesetzes gleich.</w:t>
      </w:r>
    </w:p>
    <w:p>
      <w:r>
        <w:rPr>
          <w:color w:val="555555"/>
          <w:sz w:val="17"/>
        </w:rPr>
        <w:t xml:space="preserve">Zitiervorschlag: § 49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