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VerschG</w:t>
      </w:r>
    </w:p>
    <w:p>
      <w:r>
        <w:rPr>
          <w:color w:val="555555"/>
          <w:sz w:val="18"/>
        </w:rPr>
        <w:t xml:space="preserve">Verschollenheitsgesetz</w:t>
      </w:r>
    </w:p>
    <w:p>
      <w:r>
        <w:rPr>
          <w:color w:val="555555"/>
          <w:sz w:val="18"/>
        </w:rPr>
        <w:t xml:space="preserve">Stand: 24.06.2025 (konsolidierte Textfassung, kein amtliches Inkrafttretensdatum)</w:t>
      </w:r>
    </w:p>
    <w:p>
      <w:r>
        <w:t xml:space="preserve">(Überleitungsvorschrift)</w:t>
      </w:r>
    </w:p>
    <w:p>
      <w:r>
        <w:rPr>
          <w:color w:val="555555"/>
          <w:sz w:val="17"/>
        </w:rPr>
        <w:t xml:space="preserve">Zitiervorschlag: § 48 VerschG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https://recht.nulegal.eu/gesetze/VerschG/48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