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VerschG</w:t>
      </w:r>
    </w:p>
    <w:p>
      <w:r>
        <w:rPr>
          <w:color w:val="555555"/>
          <w:sz w:val="18"/>
        </w:rPr>
        <w:t xml:space="preserve">Verschollenheitsgesetz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15. Juli 1939 in Kraft.</w:t>
      </w:r>
    </w:p>
    <w:p>
      <w:r>
        <w:t xml:space="preserve">(2) u. (3) (Aufhebungs- u. Überleitungsvorschrift)</w:t>
      </w:r>
    </w:p>
    <w:p>
      <w:r>
        <w:rPr>
          <w:color w:val="555555"/>
          <w:sz w:val="17"/>
        </w:rPr>
        <w:t xml:space="preserve">Zitiervorschlag: § 46 VerschG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https://recht.nulegal.eu/gesetze/VerschG/46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