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VerschG</w:t>
      </w:r>
    </w:p>
    <w:p>
      <w:r>
        <w:rPr>
          <w:color w:val="555555"/>
          <w:sz w:val="18"/>
        </w:rPr>
        <w:t xml:space="preserve">Verschollenheitsgesetz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Ergeben die Ermittlungen, die in einem nach § 2 eingeleiteten Aufgebotsverfahren angestellt sind, daß der Tod nach den Umständen nicht zweifelhaft ist, so ist das Verfahren nach den §§ 39 bis 44 fortzusetzen.</w:t>
      </w:r>
    </w:p>
    <w:p>
      <w:r>
        <w:t xml:space="preserve">(2) Der Antrag auf Todeserklärung gilt in diesem Falle als Antrag auf Feststellung des Zeitpunktes des Todes. § 41 ist nicht anzuwenden.</w:t>
      </w:r>
    </w:p>
    <w:p>
      <w:r>
        <w:rPr>
          <w:color w:val="555555"/>
          <w:sz w:val="17"/>
        </w:rPr>
        <w:t xml:space="preserve">Zitiervorschlag: § 45 VerschG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https://recht.nulegal.eu/gesetze/VerschG/45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