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Zeitpunkt des Todes ist den Grundsätzen des § 9 Abs. 2, 3 entsprechend festzustellen.</w:t>
      </w:r>
    </w:p>
    <w:p>
      <w:r>
        <w:t xml:space="preserve">(2) Der Beschluß begründet die Vermutung, daß der Tod in dem darin festgestellten Zeitpunkt eingetreten ist. § 9 Abs. 1 Satz 2, Abs. 4 gilt entsprechend.</w:t>
      </w:r>
    </w:p>
    <w:p>
      <w:r>
        <w:rPr>
          <w:color w:val="555555"/>
          <w:sz w:val="17"/>
        </w:rPr>
        <w:t xml:space="preserve">Zitiervorschlag: § 44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