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VerschG</w:t>
      </w:r>
    </w:p>
    <w:p>
      <w:r>
        <w:rPr>
          <w:color w:val="555555"/>
          <w:sz w:val="18"/>
        </w:rPr>
        <w:t xml:space="preserve">Verschollenheitsgesetz</w:t>
      </w:r>
    </w:p>
    <w:p>
      <w:r>
        <w:rPr>
          <w:color w:val="555555"/>
          <w:sz w:val="18"/>
        </w:rPr>
        <w:t xml:space="preserve">Stand: 10.06.2019 (konsolidierte Textfassung, kein amtliches Inkrafttretensdatum)</w:t>
      </w:r>
    </w:p>
    <w:p>
      <w:r>
        <w:t xml:space="preserve">(1) Ist der Antrag zulässig, so soll das Gericht eine öffentliche Aufforderung an alle, die über den Zeitpunkt des Todes Angaben machen können, erlassen, dies dem Gericht bis zu einem bestimmten Zeitpunkt anzuzeigen.</w:t>
      </w:r>
    </w:p>
    <w:p>
      <w:r>
        <w:t xml:space="preserve">(2) Von der öffentlichen Aufforderung kann das Gericht absehen, wenn dadurch nach den Umständen eine weitere Aufklärung des Sachverhalts nicht erwartet werden kann.</w:t>
      </w:r>
    </w:p>
    <w:p>
      <w:r>
        <w:rPr>
          <w:color w:val="555555"/>
          <w:sz w:val="17"/>
        </w:rPr>
        <w:t xml:space="preserve">Zitiervorschlag: § 42 VerschG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