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Einleitung des Verfahrens hat der Antragsteller nachzuweisen, daß der Tod nach den Umständen nicht zweifelhaft ist, sofern dies nicht offenkundig ist.</w:t>
      </w:r>
    </w:p>
    <w:p>
      <w:r>
        <w:t xml:space="preserve">(2) Die übrigen zur Begründung des Antrags erforderlichen Tatsachen hat der Antragsteller glaubhaft zu machen.</w:t>
      </w:r>
    </w:p>
    <w:p>
      <w:r>
        <w:rPr>
          <w:color w:val="555555"/>
          <w:sz w:val="17"/>
        </w:rPr>
        <w:t xml:space="preserve">Zitiervorschlag: § 41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