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VerschG</w:t>
      </w:r>
    </w:p>
    <w:p>
      <w:r>
        <w:rPr>
          <w:color w:val="555555"/>
          <w:sz w:val="18"/>
        </w:rPr>
        <w:t xml:space="preserve">Verschollenheitsgesetz</w:t>
      </w:r>
    </w:p>
    <w:p>
      <w:r>
        <w:rPr>
          <w:color w:val="555555"/>
          <w:sz w:val="18"/>
        </w:rPr>
        <w:t xml:space="preserve">Stand: 10.06.2019 (konsolidierte Textfassung, kein amtliches Inkrafttretensdatum)</w:t>
      </w:r>
    </w:p>
    <w:p>
      <w:r>
        <w:t xml:space="preserve">(1) Wer als Angehöriger einer bewaffneten Macht an einem Kriege oder einem kriegsähnlichen Unternehmen teilgenommen hat, während dieser Zeit im Gefahrgebiet vermißt worden und seitdem verschollen ist, kann für tot erklärt werden, wenn seit dem Ende des Jahres, in dem der Friede geschlossen oder der Krieg oder das kriegsähnliche Unternehmen ohne Friedensschluß tatsächlich beendigt ist, ein Jahr verstrichen ist.</w:t>
      </w:r>
    </w:p>
    <w:p>
      <w:r>
        <w:t xml:space="preserve">(2) Ist der Verschollene unter Umständen vermißt, die eine hohe Wahrscheinlichkeit seines Todes begründen, so wird die in Absatz 1 bestimmte Jahresfrist von dem Zeitpunkt ab berechnet, in dem er vermißt worden ist.</w:t>
      </w:r>
    </w:p>
    <w:p>
      <w:r>
        <w:t xml:space="preserve">(3) Den Angehörigen einer bewaffneten Macht steht gleich, wer sich bei ihr aufgehalten hat.</w:t>
      </w:r>
    </w:p>
    <w:p>
      <w:r>
        <w:rPr>
          <w:color w:val="555555"/>
          <w:sz w:val="17"/>
        </w:rPr>
        <w:t xml:space="preserve">Zitiervorschlag: § 4 VerschG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https://recht.nulegal.eu/gesetze/VerschG/4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