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Ergeht nach der Kostenfestsetzung eine Entscheidung, die den Wert des Gegenstandes des Verfahrens festsetzt, so ist, falls diese Entscheidung von der Wertberechnung abweicht, die der Kostenfestsetzung zugrunde liegt, auf Antrag die Kostenfestsetzung entsprechend abzuändern; die §§ 35 und 36 sind entsprechend anzuwenden.</w:t>
      </w:r>
    </w:p>
    <w:p>
      <w:r>
        <w:t xml:space="preserve">(2) Wird eine Entscheidung über die Kosten abgeändert, so ist auf Antrag auszusprechen, daß die auf Grund der abgeänderten Entscheidung zuviel gezahlten Kosten zu erstatten sind.</w:t>
      </w:r>
    </w:p>
    <w:p>
      <w:r>
        <w:rPr>
          <w:color w:val="555555"/>
          <w:sz w:val="17"/>
        </w:rPr>
        <w:t xml:space="preserve">Zitiervorschlag: § 37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