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VerschG</w:t>
      </w:r>
    </w:p>
    <w:p>
      <w:r>
        <w:rPr>
          <w:color w:val="555555"/>
          <w:sz w:val="18"/>
        </w:rPr>
        <w:t xml:space="preserve">Verschollenheitsgesetz</w:t>
      </w:r>
    </w:p>
    <w:p>
      <w:r>
        <w:rPr>
          <w:color w:val="555555"/>
          <w:sz w:val="18"/>
        </w:rPr>
        <w:t xml:space="preserve">Stand: 10.06.2019 (konsolidierte Textfassung, kein amtliches Inkrafttretensdatum)</w:t>
      </w:r>
    </w:p>
    <w:p>
      <w:r>
        <w:t xml:space="preserve">(1) Das Gericht kann in seiner Entscheidung einem am Verfahren Beteiligten oder vom Verfahren Betroffenen die Kosten des Verfahrens, einschließlich der zur zweckentsprechenden Durchführung des Verfahrens notwendigen außergerichtlichen Kosten anderer Beteiligter oder Betroffener, ganz oder teilweise auferlegen, die er durch grob fahrlässig aufgestellte unrichtige Behauptungen oder sonstiges grobes Verschulden veranlaßt hat. Vor dieser Entscheidung soll das Gericht, soweit tunlich, den hören, dem es die Kosten auferlegen will.</w:t>
      </w:r>
    </w:p>
    <w:p>
      <w:r>
        <w:t xml:space="preserve">(2) Vorbehaltlich des Absatzes 1 hat das Gericht in dem Beschluß, durch den der Verschollene für tot erklärt wird, auszusprechen, daß die Kosten des Verfahrens, einschließlich der notwendigen außergerichtlichen Kosten des Antragstellers oder Beschwerdeführers, dem Nachlaß zur Last fallen. Dies gilt nicht für die Kosten einer unbegründeten Beschwerde.</w:t>
      </w:r>
    </w:p>
    <w:p>
      <w:r>
        <w:t xml:space="preserve">(3) Wird die Todeserklärung gemäß den §§ 30 bis 33 aufgehoben, so kann das Gericht nach Absatz 1 auch über die Kosten entscheiden, die nach Absatz 2 dem Nachlaß zur Last gelegt sind.</w:t>
      </w:r>
    </w:p>
    <w:p>
      <w:r>
        <w:rPr>
          <w:color w:val="555555"/>
          <w:sz w:val="17"/>
        </w:rPr>
        <w:t xml:space="preserve">Zitiervorschlag: § 34 VerschG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