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Ist der Verschollene nicht in dem Zeitpunkt verstorben, der als Zeitpunkt des Todes festgestellt worden ist, so kann jeder, der ein rechtliches Interesse an der Feststellung einer anderen Todeszeit hat, die Änderung der Feststellung beantragen, wenn die Tatsache, aus der sich die Unrichtigkeit der Feststellung ergibt, ihm ohne sein Verschulden erst bekannt geworden ist, als er sie in dem Aufgebotsverfahren nicht mehr geltend machen konnte.</w:t>
      </w:r>
    </w:p>
    <w:p>
      <w:r>
        <w:t xml:space="preserve">(2) Der Antrag ist vor Ablauf einer Notfrist von einem Monat zu stellen. Die Frist beginnt mit dem Tage, an dem der Antragsberechtigte von der Tatsache Kenntnis erhalten hat, jedoch nicht vor Eintritt der Rechtskraft der Todeserklärung. Nach Ablauf von fünf Jahren, von dem Tage der Rechtskraft der Todeserklärung an gerechnet, ist der Antrag unstatthaft.</w:t>
      </w:r>
    </w:p>
    <w:p>
      <w:r>
        <w:t xml:space="preserve">(3) Für das Änderungsverfahren gelten §§ 17, 18, § 19 Abs. 1, Abs. 2 Buchstabe c, §§ 20, 21, 23 bis 29, § 30 Abs. 2, § 31 Abs. 2 entsprechend. Der Beschluß, durch den die Feststellung des Todes geändert wird, ist auch demjenigen zuzustellen, der die Todeserklärung erwirkt hat. Die Änderung soll auf dem Beschluß, durch den der Verschollene für tot erklärt worden ist, und auf dessen Ausfertigung vermerkt werden.</w:t>
      </w:r>
    </w:p>
    <w:p>
      <w:r>
        <w:rPr>
          <w:color w:val="555555"/>
          <w:sz w:val="17"/>
        </w:rPr>
        <w:t xml:space="preserve">Zitiervorschlag: § 33a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